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49BC" w14:textId="77777777" w:rsidR="00C32C13" w:rsidRDefault="00C32C13" w:rsidP="0087313B">
      <w:pPr>
        <w:spacing w:after="0"/>
        <w:rPr>
          <w:sz w:val="24"/>
          <w:szCs w:val="24"/>
        </w:rPr>
      </w:pPr>
    </w:p>
    <w:p w14:paraId="1B4B49BD" w14:textId="336C75F6" w:rsidR="00A47BA6" w:rsidRDefault="00A47BA6" w:rsidP="0087313B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Transfer Credit and Articulation (TCA) Office uses</w:t>
      </w:r>
      <w:r w:rsidR="0010266B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10266B">
        <w:rPr>
          <w:sz w:val="24"/>
          <w:szCs w:val="24"/>
        </w:rPr>
        <w:t>Arizona Course Equiv</w:t>
      </w:r>
      <w:r w:rsidR="00287D8E">
        <w:rPr>
          <w:sz w:val="24"/>
          <w:szCs w:val="24"/>
        </w:rPr>
        <w:t>alency Tracking System (ACETS)</w:t>
      </w:r>
      <w:r>
        <w:rPr>
          <w:sz w:val="24"/>
          <w:szCs w:val="24"/>
        </w:rPr>
        <w:t xml:space="preserve"> to process </w:t>
      </w:r>
      <w:r w:rsidR="00635B9B">
        <w:rPr>
          <w:sz w:val="24"/>
          <w:szCs w:val="24"/>
        </w:rPr>
        <w:t>courses</w:t>
      </w:r>
      <w:r>
        <w:rPr>
          <w:sz w:val="24"/>
          <w:szCs w:val="24"/>
        </w:rPr>
        <w:t xml:space="preserve"> submitted by </w:t>
      </w:r>
      <w:r w:rsidR="00E24401">
        <w:rPr>
          <w:sz w:val="24"/>
          <w:szCs w:val="24"/>
        </w:rPr>
        <w:t xml:space="preserve">AZ community colleges for </w:t>
      </w:r>
      <w:r>
        <w:rPr>
          <w:sz w:val="24"/>
          <w:szCs w:val="24"/>
        </w:rPr>
        <w:t xml:space="preserve">transfer credit evaluation. This BPG will focus on </w:t>
      </w:r>
      <w:r w:rsidR="00287D8E">
        <w:rPr>
          <w:sz w:val="24"/>
          <w:szCs w:val="24"/>
        </w:rPr>
        <w:t>processing forms in</w:t>
      </w:r>
      <w:r w:rsidR="00C50354">
        <w:rPr>
          <w:sz w:val="24"/>
          <w:szCs w:val="24"/>
        </w:rPr>
        <w:t xml:space="preserve"> the ACETS system.</w:t>
      </w:r>
    </w:p>
    <w:p w14:paraId="1B4B49C0" w14:textId="77777777" w:rsidR="00A1385C" w:rsidRDefault="00A1385C" w:rsidP="0087313B">
      <w:pPr>
        <w:spacing w:after="0"/>
        <w:rPr>
          <w:sz w:val="24"/>
          <w:szCs w:val="24"/>
        </w:rPr>
      </w:pPr>
    </w:p>
    <w:p w14:paraId="1B4B49C1" w14:textId="77777777" w:rsidR="00A47BA6" w:rsidRDefault="00DA4429" w:rsidP="0087313B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B4A7A" wp14:editId="1B4B4A7B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82486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48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dk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0770A03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1pt" to="649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B4B49C2" w14:textId="77777777" w:rsidR="00DA4429" w:rsidRDefault="00DA4429" w:rsidP="0087313B">
      <w:pPr>
        <w:spacing w:after="0"/>
        <w:rPr>
          <w:sz w:val="24"/>
          <w:szCs w:val="24"/>
        </w:rPr>
      </w:pPr>
    </w:p>
    <w:tbl>
      <w:tblPr>
        <w:tblW w:w="12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2150"/>
      </w:tblGrid>
      <w:tr w:rsidR="00A47BA6" w:rsidRPr="003740E4" w14:paraId="1B4B49D1" w14:textId="77777777" w:rsidTr="000C4E9C">
        <w:trPr>
          <w:trHeight w:hRule="exact" w:val="352"/>
        </w:trPr>
        <w:tc>
          <w:tcPr>
            <w:tcW w:w="805" w:type="dxa"/>
            <w:shd w:val="clear" w:color="auto" w:fill="D9D9D9"/>
          </w:tcPr>
          <w:p w14:paraId="1B4B49CF" w14:textId="77777777" w:rsidR="00A47BA6" w:rsidRPr="006F3F66" w:rsidRDefault="00A47BA6" w:rsidP="007871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F66">
              <w:rPr>
                <w:rFonts w:ascii="Times New Roman" w:hAnsi="Times New Roman"/>
                <w:b/>
                <w:sz w:val="24"/>
                <w:szCs w:val="24"/>
              </w:rPr>
              <w:t>Step</w:t>
            </w:r>
          </w:p>
        </w:tc>
        <w:tc>
          <w:tcPr>
            <w:tcW w:w="12150" w:type="dxa"/>
            <w:shd w:val="clear" w:color="auto" w:fill="D9D9D9"/>
          </w:tcPr>
          <w:p w14:paraId="1B4B49D0" w14:textId="77777777" w:rsidR="00A47BA6" w:rsidRPr="006F3F66" w:rsidRDefault="00A47BA6" w:rsidP="007871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3F66">
              <w:rPr>
                <w:rFonts w:ascii="Times New Roman" w:hAnsi="Times New Roman"/>
                <w:b/>
                <w:sz w:val="24"/>
                <w:szCs w:val="24"/>
              </w:rPr>
              <w:t>Action</w:t>
            </w:r>
          </w:p>
        </w:tc>
      </w:tr>
      <w:tr w:rsidR="00A47BA6" w:rsidRPr="003740E4" w14:paraId="1B4B49DB" w14:textId="77777777" w:rsidTr="000C4E9C">
        <w:trPr>
          <w:trHeight w:val="287"/>
        </w:trPr>
        <w:tc>
          <w:tcPr>
            <w:tcW w:w="805" w:type="dxa"/>
            <w:shd w:val="clear" w:color="auto" w:fill="auto"/>
          </w:tcPr>
          <w:p w14:paraId="1B4B49D2" w14:textId="77777777" w:rsidR="00A47BA6" w:rsidRPr="006F3F66" w:rsidRDefault="00A47BA6" w:rsidP="007871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F6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2150" w:type="dxa"/>
            <w:shd w:val="clear" w:color="auto" w:fill="auto"/>
          </w:tcPr>
          <w:p w14:paraId="1B4B49D4" w14:textId="2E3303E5" w:rsidR="00A47BA6" w:rsidRDefault="00B87ACF" w:rsidP="0078714E">
            <w:pPr>
              <w:spacing w:after="0" w:line="240" w:lineRule="auto"/>
            </w:pPr>
            <w:r>
              <w:t>Visit</w:t>
            </w:r>
            <w:r w:rsidR="00A47BA6">
              <w:t xml:space="preserve"> </w:t>
            </w:r>
            <w:hyperlink r:id="rId7" w:history="1">
              <w:r w:rsidRPr="00C45B5D">
                <w:rPr>
                  <w:rStyle w:val="Hyperlink"/>
                </w:rPr>
                <w:t>https://aztransmac2.asu.edu/cgi-bin/WebObjects/acets</w:t>
              </w:r>
            </w:hyperlink>
            <w:r>
              <w:t xml:space="preserve"> to access the ACETS system. </w:t>
            </w:r>
            <w:r w:rsidR="0059301E">
              <w:t xml:space="preserve"> </w:t>
            </w:r>
          </w:p>
          <w:p w14:paraId="25D475BB" w14:textId="77777777" w:rsidR="0059301E" w:rsidRPr="001847E6" w:rsidRDefault="0059301E" w:rsidP="0078714E">
            <w:pPr>
              <w:spacing w:after="0" w:line="240" w:lineRule="auto"/>
            </w:pPr>
          </w:p>
          <w:p w14:paraId="1B4B49D5" w14:textId="77777777" w:rsidR="00A47BA6" w:rsidRPr="003740E4" w:rsidRDefault="00A47BA6" w:rsidP="007871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L</w:t>
            </w:r>
            <w:r w:rsidR="00B87ACF">
              <w:t>ogin with your username and password.</w:t>
            </w:r>
            <w:r>
              <w:t xml:space="preserve"> </w:t>
            </w:r>
          </w:p>
          <w:p w14:paraId="1B4B49D6" w14:textId="77777777" w:rsidR="00A47BA6" w:rsidRDefault="00B87ACF" w:rsidP="0078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B4B4A7E" wp14:editId="2B4BC0EE">
                  <wp:extent cx="4648200" cy="3376459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CETS login pag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8774" cy="3398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4B49D7" w14:textId="77777777" w:rsidR="00B856C1" w:rsidRDefault="00B856C1" w:rsidP="0078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4B49D8" w14:textId="77777777" w:rsidR="00B856C1" w:rsidRDefault="00B856C1" w:rsidP="0078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4B49D9" w14:textId="77777777" w:rsidR="00B856C1" w:rsidRDefault="00B856C1" w:rsidP="0078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4B49DA" w14:textId="77777777" w:rsidR="00B856C1" w:rsidRPr="003740E4" w:rsidRDefault="00B856C1" w:rsidP="0078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A6" w:rsidRPr="003740E4" w14:paraId="1B4B4A2E" w14:textId="77777777" w:rsidTr="000C4E9C">
        <w:trPr>
          <w:trHeight w:val="287"/>
        </w:trPr>
        <w:tc>
          <w:tcPr>
            <w:tcW w:w="805" w:type="dxa"/>
            <w:shd w:val="clear" w:color="auto" w:fill="auto"/>
          </w:tcPr>
          <w:p w14:paraId="1B4B4A1A" w14:textId="77777777" w:rsidR="00A47BA6" w:rsidRPr="008C7897" w:rsidRDefault="00E953C1" w:rsidP="007871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="00A47BA6" w:rsidRPr="008C78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150" w:type="dxa"/>
            <w:shd w:val="clear" w:color="auto" w:fill="auto"/>
          </w:tcPr>
          <w:p w14:paraId="1B4B4A1B" w14:textId="77777777" w:rsidR="0092201D" w:rsidRDefault="00567E08" w:rsidP="00567E08">
            <w:pPr>
              <w:pStyle w:val="ListParagraph"/>
              <w:spacing w:after="0" w:line="240" w:lineRule="auto"/>
              <w:ind w:left="0"/>
            </w:pPr>
            <w:r w:rsidRPr="003740E4">
              <w:rPr>
                <w:b/>
              </w:rPr>
              <w:t>Navigation:</w:t>
            </w:r>
            <w:r>
              <w:rPr>
                <w:b/>
              </w:rPr>
              <w:t xml:space="preserve"> </w:t>
            </w:r>
            <w:r w:rsidRPr="00635B9B">
              <w:rPr>
                <w:b/>
                <w:bCs/>
              </w:rPr>
              <w:t>Query &gt; New/Mod/SUN</w:t>
            </w:r>
            <w:r w:rsidR="009E654A" w:rsidRPr="00635B9B">
              <w:rPr>
                <w:b/>
                <w:bCs/>
              </w:rPr>
              <w:t>/EXM</w:t>
            </w:r>
            <w:r w:rsidRPr="00635B9B">
              <w:rPr>
                <w:b/>
                <w:bCs/>
              </w:rPr>
              <w:t xml:space="preserve"> - No Routing Group</w:t>
            </w:r>
          </w:p>
          <w:p w14:paraId="1B4B4A1C" w14:textId="77777777" w:rsidR="0092201D" w:rsidRDefault="0092201D" w:rsidP="00567E08">
            <w:pPr>
              <w:pStyle w:val="ListParagraph"/>
              <w:spacing w:after="0" w:line="240" w:lineRule="auto"/>
              <w:ind w:left="0"/>
            </w:pPr>
          </w:p>
          <w:p w14:paraId="1B4B4A1D" w14:textId="77777777" w:rsidR="00567E08" w:rsidRDefault="00567E08" w:rsidP="00567E08">
            <w:pPr>
              <w:pStyle w:val="ListParagraph"/>
              <w:spacing w:after="0" w:line="240" w:lineRule="auto"/>
              <w:ind w:left="0"/>
            </w:pPr>
            <w:r>
              <w:rPr>
                <w:noProof/>
              </w:rPr>
              <w:drawing>
                <wp:inline distT="0" distB="0" distL="0" distR="0" wp14:anchorId="1B4B4A8E" wp14:editId="1B4B4A8F">
                  <wp:extent cx="2602130" cy="2173857"/>
                  <wp:effectExtent l="0" t="0" r="825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CETS que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130" cy="2173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</w:t>
            </w:r>
            <w:r>
              <w:rPr>
                <w:noProof/>
              </w:rPr>
              <w:drawing>
                <wp:inline distT="0" distB="0" distL="0" distR="0" wp14:anchorId="1B4B4A90" wp14:editId="54E4D99F">
                  <wp:extent cx="3519577" cy="2147904"/>
                  <wp:effectExtent l="0" t="0" r="508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CETS no routing group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2346" cy="219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4B4A1E" w14:textId="77777777" w:rsidR="000E38E3" w:rsidRDefault="000E38E3" w:rsidP="0078714E">
            <w:pPr>
              <w:spacing w:after="0" w:line="240" w:lineRule="auto"/>
            </w:pPr>
          </w:p>
          <w:p w14:paraId="1B4B4A1F" w14:textId="59803DB5" w:rsidR="0092201D" w:rsidRPr="0092201D" w:rsidRDefault="002D208E" w:rsidP="0078714E">
            <w:pPr>
              <w:spacing w:after="0" w:line="240" w:lineRule="auto"/>
            </w:pPr>
            <w:r>
              <w:t>New courses sent</w:t>
            </w:r>
            <w:r w:rsidR="00DC32BB">
              <w:t xml:space="preserve"> for evaluation by the AZ community college will appear on this </w:t>
            </w:r>
            <w:r w:rsidR="0092201D">
              <w:t>list</w:t>
            </w:r>
            <w:r w:rsidR="00DC32BB">
              <w:t>. C</w:t>
            </w:r>
            <w:r w:rsidR="0092201D">
              <w:t xml:space="preserve">lick </w:t>
            </w:r>
            <w:r w:rsidR="0092201D" w:rsidRPr="0092201D">
              <w:rPr>
                <w:b/>
              </w:rPr>
              <w:t>“Edit”</w:t>
            </w:r>
            <w:r w:rsidR="0092201D">
              <w:rPr>
                <w:b/>
              </w:rPr>
              <w:t xml:space="preserve"> </w:t>
            </w:r>
            <w:r w:rsidR="00DD3628">
              <w:rPr>
                <w:bCs/>
              </w:rPr>
              <w:t>to begin</w:t>
            </w:r>
            <w:r w:rsidR="0092201D">
              <w:t>.</w:t>
            </w:r>
          </w:p>
          <w:p w14:paraId="1B4B4A20" w14:textId="77777777" w:rsidR="0092201D" w:rsidRDefault="0092201D" w:rsidP="0078714E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B4B4A92" wp14:editId="3C4C444C">
                  <wp:extent cx="6530196" cy="2100125"/>
                  <wp:effectExtent l="0" t="0" r="444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ACETS no routing group 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6894" cy="211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4B4A21" w14:textId="77777777" w:rsidR="0092201D" w:rsidRDefault="0092201D" w:rsidP="0078714E">
            <w:pPr>
              <w:spacing w:after="0" w:line="240" w:lineRule="auto"/>
            </w:pPr>
          </w:p>
          <w:p w14:paraId="1B4B4A22" w14:textId="77777777" w:rsidR="006E15BA" w:rsidRDefault="006E15BA" w:rsidP="0078714E">
            <w:pPr>
              <w:spacing w:after="0" w:line="240" w:lineRule="auto"/>
            </w:pPr>
          </w:p>
          <w:p w14:paraId="1B4B4A23" w14:textId="77777777" w:rsidR="006E15BA" w:rsidRDefault="006E15BA" w:rsidP="0078714E">
            <w:pPr>
              <w:spacing w:after="0" w:line="240" w:lineRule="auto"/>
            </w:pPr>
          </w:p>
          <w:p w14:paraId="1B4B4A24" w14:textId="77777777" w:rsidR="006E15BA" w:rsidRDefault="006E15BA" w:rsidP="0078714E">
            <w:pPr>
              <w:spacing w:after="0" w:line="240" w:lineRule="auto"/>
            </w:pPr>
          </w:p>
          <w:p w14:paraId="1B4B4A25" w14:textId="218190C3" w:rsidR="0092201D" w:rsidRDefault="0092201D" w:rsidP="0078714E">
            <w:pPr>
              <w:spacing w:after="0" w:line="240" w:lineRule="auto"/>
            </w:pPr>
            <w:r>
              <w:t xml:space="preserve">Click on </w:t>
            </w:r>
            <w:r w:rsidRPr="0092201D">
              <w:rPr>
                <w:b/>
              </w:rPr>
              <w:t xml:space="preserve">“Associate Routing Group </w:t>
            </w:r>
            <w:proofErr w:type="gramStart"/>
            <w:r w:rsidRPr="0092201D">
              <w:rPr>
                <w:b/>
              </w:rPr>
              <w:t>By</w:t>
            </w:r>
            <w:proofErr w:type="gramEnd"/>
            <w:r w:rsidRPr="0092201D">
              <w:rPr>
                <w:b/>
              </w:rPr>
              <w:t xml:space="preserve"> Link”</w:t>
            </w:r>
            <w:r>
              <w:t xml:space="preserve"> and </w:t>
            </w:r>
            <w:r w:rsidRPr="008B762F">
              <w:rPr>
                <w:b/>
                <w:bCs/>
              </w:rPr>
              <w:t>select the department</w:t>
            </w:r>
            <w:r>
              <w:t xml:space="preserve"> that the form should be sent to. </w:t>
            </w:r>
            <w:r w:rsidR="00A73D59">
              <w:t>In general, courses should be routed to the department that offers the course in the ‘Suggested equivalency’</w:t>
            </w:r>
            <w:r w:rsidR="001F252A">
              <w:t xml:space="preserve"> or that </w:t>
            </w:r>
            <w:r w:rsidR="005A2546">
              <w:t xml:space="preserve">the department that has </w:t>
            </w:r>
            <w:r w:rsidR="006D0A43">
              <w:t xml:space="preserve">given </w:t>
            </w:r>
            <w:r w:rsidR="005A2546">
              <w:t>the current equivalency</w:t>
            </w:r>
            <w:r w:rsidR="006D0A43">
              <w:t xml:space="preserve"> (consult the </w:t>
            </w:r>
            <w:hyperlink r:id="rId12" w:history="1">
              <w:r w:rsidR="006D0A43" w:rsidRPr="00093FC9">
                <w:rPr>
                  <w:rStyle w:val="Hyperlink"/>
                </w:rPr>
                <w:t>Course Equivalency Guide</w:t>
              </w:r>
            </w:hyperlink>
            <w:r w:rsidR="00093FC9">
              <w:t xml:space="preserve"> for the current equivalency, if needed</w:t>
            </w:r>
            <w:r w:rsidR="006D0A43">
              <w:t>)</w:t>
            </w:r>
            <w:r w:rsidR="001F252A">
              <w:t xml:space="preserve">. If there is another department that </w:t>
            </w:r>
            <w:r w:rsidR="005A2546">
              <w:t>would also be appropriate, you can always route to more than one department</w:t>
            </w:r>
            <w:r>
              <w:t>.</w:t>
            </w:r>
          </w:p>
          <w:p w14:paraId="6324EBF6" w14:textId="77777777" w:rsidR="006D0A43" w:rsidRPr="0092201D" w:rsidRDefault="006D0A43" w:rsidP="0078714E">
            <w:pPr>
              <w:spacing w:after="0" w:line="240" w:lineRule="auto"/>
            </w:pPr>
          </w:p>
          <w:p w14:paraId="1B4B4A26" w14:textId="77777777" w:rsidR="00567E08" w:rsidRDefault="0092201D" w:rsidP="0078714E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B4B4A94" wp14:editId="1B4B4A95">
                  <wp:extent cx="7243680" cy="4301656"/>
                  <wp:effectExtent l="0" t="0" r="0" b="381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CETS associate routing group by link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557" cy="4333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4B4A2D" w14:textId="77777777" w:rsidR="00E829EC" w:rsidRDefault="00E829EC" w:rsidP="0078714E">
            <w:pPr>
              <w:spacing w:after="0" w:line="240" w:lineRule="auto"/>
            </w:pPr>
          </w:p>
        </w:tc>
      </w:tr>
      <w:tr w:rsidR="00A47BA6" w:rsidRPr="003740E4" w14:paraId="1B4B4A4B" w14:textId="77777777" w:rsidTr="000C4E9C">
        <w:trPr>
          <w:trHeight w:val="287"/>
        </w:trPr>
        <w:tc>
          <w:tcPr>
            <w:tcW w:w="805" w:type="dxa"/>
            <w:shd w:val="clear" w:color="auto" w:fill="auto"/>
          </w:tcPr>
          <w:p w14:paraId="1B4B4A2F" w14:textId="77777777" w:rsidR="00A47BA6" w:rsidRPr="0092201D" w:rsidRDefault="00E953C1" w:rsidP="007871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="0092201D" w:rsidRPr="009220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150" w:type="dxa"/>
            <w:shd w:val="clear" w:color="auto" w:fill="auto"/>
          </w:tcPr>
          <w:p w14:paraId="1B4B4A30" w14:textId="77777777" w:rsidR="0092201D" w:rsidRDefault="0092201D" w:rsidP="0092201D">
            <w:pPr>
              <w:pStyle w:val="ListParagraph"/>
              <w:spacing w:after="0" w:line="240" w:lineRule="auto"/>
              <w:ind w:left="0"/>
            </w:pPr>
            <w:r w:rsidRPr="003740E4">
              <w:rPr>
                <w:b/>
              </w:rPr>
              <w:t>Navigation:</w:t>
            </w:r>
            <w:r>
              <w:rPr>
                <w:b/>
              </w:rPr>
              <w:t xml:space="preserve"> </w:t>
            </w:r>
            <w:r w:rsidRPr="00093FC9">
              <w:rPr>
                <w:b/>
                <w:bCs/>
              </w:rPr>
              <w:t xml:space="preserve">Query &gt; </w:t>
            </w:r>
            <w:r w:rsidR="00432789" w:rsidRPr="00093FC9">
              <w:rPr>
                <w:b/>
                <w:bCs/>
              </w:rPr>
              <w:t>Has Group Evaluation - No Final Eval</w:t>
            </w:r>
          </w:p>
          <w:p w14:paraId="1B4B4A31" w14:textId="77777777" w:rsidR="002E2406" w:rsidRDefault="002E2406" w:rsidP="0092201D">
            <w:pPr>
              <w:pStyle w:val="ListParagraph"/>
              <w:spacing w:after="0" w:line="240" w:lineRule="auto"/>
              <w:ind w:left="0"/>
            </w:pPr>
          </w:p>
          <w:p w14:paraId="1B4B4A32" w14:textId="77777777" w:rsidR="002E2406" w:rsidRDefault="002E2406" w:rsidP="0092201D">
            <w:pPr>
              <w:pStyle w:val="ListParagraph"/>
              <w:spacing w:after="0" w:line="240" w:lineRule="auto"/>
              <w:ind w:left="0"/>
            </w:pPr>
            <w:r>
              <w:t>Forms that have been evaluated by departments will appear in the “</w:t>
            </w:r>
            <w:r w:rsidRPr="009C70D2">
              <w:rPr>
                <w:b/>
              </w:rPr>
              <w:t>Has Group Evaluation - No Final Eval</w:t>
            </w:r>
            <w:r>
              <w:t>” query.</w:t>
            </w:r>
          </w:p>
          <w:p w14:paraId="1B4B4A33" w14:textId="77777777" w:rsidR="00A47BA6" w:rsidRDefault="00A47BA6" w:rsidP="0078714E">
            <w:pPr>
              <w:spacing w:after="0" w:line="240" w:lineRule="auto"/>
            </w:pPr>
          </w:p>
          <w:p w14:paraId="1B4B4A34" w14:textId="77777777" w:rsidR="00A47BA6" w:rsidRDefault="00432789" w:rsidP="0078714E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B4B4A96" wp14:editId="1B4B4A97">
                  <wp:extent cx="3434964" cy="2869618"/>
                  <wp:effectExtent l="0" t="0" r="0" b="698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CETS query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271" cy="2950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>
              <w:rPr>
                <w:noProof/>
              </w:rPr>
              <w:drawing>
                <wp:inline distT="0" distB="0" distL="0" distR="0" wp14:anchorId="1B4B4A98" wp14:editId="1B4B4A99">
                  <wp:extent cx="3904090" cy="2509491"/>
                  <wp:effectExtent l="0" t="0" r="1270" b="571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CETS has group evaluation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9505" cy="253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418EF2" w14:textId="77777777" w:rsidR="00CF54D4" w:rsidRDefault="00CF54D4" w:rsidP="0078714E">
            <w:pPr>
              <w:spacing w:after="0" w:line="240" w:lineRule="auto"/>
            </w:pPr>
          </w:p>
          <w:p w14:paraId="6E9B6771" w14:textId="77777777" w:rsidR="00CF54D4" w:rsidRDefault="00CF54D4" w:rsidP="0078714E">
            <w:pPr>
              <w:spacing w:after="0" w:line="240" w:lineRule="auto"/>
            </w:pPr>
          </w:p>
          <w:p w14:paraId="1B4B4A36" w14:textId="0E159FAD" w:rsidR="002E2406" w:rsidRDefault="002E2406" w:rsidP="0078714E">
            <w:pPr>
              <w:spacing w:after="0" w:line="240" w:lineRule="auto"/>
            </w:pPr>
            <w:r>
              <w:t xml:space="preserve">Search for your form from the list and click </w:t>
            </w:r>
            <w:r w:rsidRPr="0092201D">
              <w:rPr>
                <w:b/>
              </w:rPr>
              <w:t>“Edit</w:t>
            </w:r>
            <w:r>
              <w:rPr>
                <w:b/>
              </w:rPr>
              <w:t>.</w:t>
            </w:r>
            <w:r w:rsidRPr="0092201D">
              <w:rPr>
                <w:b/>
              </w:rPr>
              <w:t>”</w:t>
            </w:r>
          </w:p>
          <w:p w14:paraId="5137901A" w14:textId="77777777" w:rsidR="00CF54D4" w:rsidRDefault="00CF54D4" w:rsidP="0078714E">
            <w:pPr>
              <w:spacing w:after="0" w:line="240" w:lineRule="auto"/>
            </w:pPr>
          </w:p>
          <w:p w14:paraId="1B4B4A37" w14:textId="5ADC51B6" w:rsidR="002E2406" w:rsidRDefault="00A5263B" w:rsidP="0078714E">
            <w:pPr>
              <w:spacing w:after="0" w:line="240" w:lineRule="auto"/>
            </w:pPr>
            <w:r w:rsidRPr="00A5263B">
              <w:rPr>
                <w:noProof/>
              </w:rPr>
              <w:drawing>
                <wp:inline distT="0" distB="0" distL="0" distR="0" wp14:anchorId="43EA1FC0" wp14:editId="07D0D362">
                  <wp:extent cx="7578090" cy="795020"/>
                  <wp:effectExtent l="0" t="0" r="3810" b="5080"/>
                  <wp:docPr id="1105093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09302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8090" cy="7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4B4A38" w14:textId="77777777" w:rsidR="00347289" w:rsidRDefault="00347289" w:rsidP="0078714E">
            <w:pPr>
              <w:spacing w:after="0" w:line="240" w:lineRule="auto"/>
            </w:pPr>
          </w:p>
          <w:p w14:paraId="1B4B4A3A" w14:textId="77777777" w:rsidR="00347289" w:rsidRDefault="00347289" w:rsidP="0078714E">
            <w:pPr>
              <w:spacing w:after="0" w:line="240" w:lineRule="auto"/>
            </w:pPr>
          </w:p>
          <w:p w14:paraId="1B4B4A3E" w14:textId="3D46E643" w:rsidR="002C192C" w:rsidRPr="002C192C" w:rsidRDefault="00347289" w:rsidP="009B3902">
            <w:pPr>
              <w:spacing w:after="0" w:line="240" w:lineRule="auto"/>
            </w:pPr>
            <w:r>
              <w:t>The highlighted information</w:t>
            </w:r>
            <w:r w:rsidR="00275EBF">
              <w:t xml:space="preserve"> (below)</w:t>
            </w:r>
            <w:r>
              <w:t xml:space="preserve"> include</w:t>
            </w:r>
            <w:r w:rsidR="00275EBF">
              <w:t>s</w:t>
            </w:r>
            <w:r>
              <w:t xml:space="preserve"> the department that the form was sent to, the date it was sent, the date it was reviewed, the equivalency, and the person who evaluated the course. </w:t>
            </w:r>
            <w:r w:rsidR="009B3902">
              <w:t>At this point, you can build the rule for the course.</w:t>
            </w:r>
          </w:p>
          <w:p w14:paraId="1B4B4A3F" w14:textId="77777777" w:rsidR="00347289" w:rsidRDefault="00347289" w:rsidP="0078714E">
            <w:pPr>
              <w:spacing w:after="0" w:line="240" w:lineRule="auto"/>
            </w:pPr>
          </w:p>
          <w:p w14:paraId="1B4B4A40" w14:textId="77777777" w:rsidR="00347289" w:rsidRDefault="00347289" w:rsidP="0078714E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B4B4A9C" wp14:editId="1B4B4A9D">
                  <wp:extent cx="6688808" cy="3538331"/>
                  <wp:effectExtent l="0" t="0" r="0" b="508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CETS final eval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6487" cy="3542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4B4A41" w14:textId="77777777" w:rsidR="00347289" w:rsidRDefault="00347289" w:rsidP="0078714E">
            <w:pPr>
              <w:spacing w:after="0" w:line="240" w:lineRule="auto"/>
            </w:pPr>
          </w:p>
          <w:p w14:paraId="1B4B4A44" w14:textId="77777777" w:rsidR="00E829EC" w:rsidRDefault="00E829EC" w:rsidP="0078714E">
            <w:pPr>
              <w:spacing w:after="0" w:line="240" w:lineRule="auto"/>
              <w:rPr>
                <w:b/>
              </w:rPr>
            </w:pPr>
          </w:p>
          <w:p w14:paraId="1B4B4A45" w14:textId="77777777" w:rsidR="00E829EC" w:rsidRDefault="00E829EC" w:rsidP="0078714E">
            <w:pPr>
              <w:spacing w:after="0" w:line="240" w:lineRule="auto"/>
              <w:rPr>
                <w:b/>
              </w:rPr>
            </w:pPr>
          </w:p>
          <w:p w14:paraId="1B4B4A46" w14:textId="77777777" w:rsidR="00347289" w:rsidRDefault="00347289" w:rsidP="0078714E">
            <w:pPr>
              <w:spacing w:after="0" w:line="240" w:lineRule="auto"/>
              <w:rPr>
                <w:b/>
              </w:rPr>
            </w:pPr>
            <w:r w:rsidRPr="00347289">
              <w:rPr>
                <w:b/>
              </w:rPr>
              <w:t xml:space="preserve">Form </w:t>
            </w:r>
            <w:proofErr w:type="gramStart"/>
            <w:r w:rsidRPr="00347289">
              <w:rPr>
                <w:b/>
              </w:rPr>
              <w:t>continued on</w:t>
            </w:r>
            <w:proofErr w:type="gramEnd"/>
            <w:r w:rsidRPr="00347289">
              <w:rPr>
                <w:b/>
              </w:rPr>
              <w:t xml:space="preserve"> next page…</w:t>
            </w:r>
          </w:p>
          <w:p w14:paraId="11D8340B" w14:textId="77777777" w:rsidR="000F2C26" w:rsidRDefault="000F2C26" w:rsidP="0078714E">
            <w:pPr>
              <w:spacing w:after="0" w:line="240" w:lineRule="auto"/>
              <w:rPr>
                <w:b/>
              </w:rPr>
            </w:pPr>
          </w:p>
          <w:p w14:paraId="7D1AA35A" w14:textId="77777777" w:rsidR="000F2C26" w:rsidRDefault="000F2C26" w:rsidP="0078714E">
            <w:pPr>
              <w:spacing w:after="0" w:line="240" w:lineRule="auto"/>
              <w:rPr>
                <w:b/>
              </w:rPr>
            </w:pPr>
          </w:p>
          <w:p w14:paraId="6104AC7E" w14:textId="77777777" w:rsidR="000F2C26" w:rsidRDefault="000F2C26" w:rsidP="0078714E">
            <w:pPr>
              <w:spacing w:after="0" w:line="240" w:lineRule="auto"/>
              <w:rPr>
                <w:b/>
              </w:rPr>
            </w:pPr>
          </w:p>
          <w:p w14:paraId="2275A3C9" w14:textId="77777777" w:rsidR="000F2C26" w:rsidRDefault="000F2C26" w:rsidP="0078714E">
            <w:pPr>
              <w:spacing w:after="0" w:line="240" w:lineRule="auto"/>
              <w:rPr>
                <w:b/>
              </w:rPr>
            </w:pPr>
          </w:p>
          <w:p w14:paraId="5BF54322" w14:textId="77777777" w:rsidR="000F2C26" w:rsidRPr="00347289" w:rsidRDefault="000F2C26" w:rsidP="0078714E">
            <w:pPr>
              <w:spacing w:after="0" w:line="240" w:lineRule="auto"/>
              <w:rPr>
                <w:b/>
              </w:rPr>
            </w:pPr>
          </w:p>
          <w:p w14:paraId="1B4B4A47" w14:textId="77777777" w:rsidR="00347289" w:rsidRPr="00C4647D" w:rsidRDefault="002C192C" w:rsidP="0078714E">
            <w:pPr>
              <w:spacing w:after="0" w:line="240" w:lineRule="auto"/>
            </w:pPr>
            <w:r>
              <w:t>Once you build the rule, complete the form by</w:t>
            </w:r>
            <w:r w:rsidR="009730F6">
              <w:t xml:space="preserve"> entering the Source ID in the </w:t>
            </w:r>
            <w:r w:rsidR="009730F6" w:rsidRPr="009730F6">
              <w:rPr>
                <w:b/>
              </w:rPr>
              <w:t>“Encoding Notes”</w:t>
            </w:r>
            <w:r w:rsidR="009730F6">
              <w:t xml:space="preserve"> box,</w:t>
            </w:r>
            <w:r>
              <w:t xml:space="preserve"> enter the final evaluation in one of the highlighted fields and click </w:t>
            </w:r>
            <w:r w:rsidRPr="002C192C">
              <w:rPr>
                <w:b/>
              </w:rPr>
              <w:t>“Save.”</w:t>
            </w:r>
            <w:r w:rsidR="00C4647D">
              <w:rPr>
                <w:b/>
              </w:rPr>
              <w:t xml:space="preserve"> </w:t>
            </w:r>
            <w:r w:rsidR="00C4647D">
              <w:t xml:space="preserve">Next, click </w:t>
            </w:r>
            <w:r w:rsidR="00C4647D" w:rsidRPr="00C4647D">
              <w:rPr>
                <w:b/>
              </w:rPr>
              <w:t>“Return to List”</w:t>
            </w:r>
            <w:r w:rsidR="00C4647D">
              <w:t xml:space="preserve"> to complete other forms or click </w:t>
            </w:r>
            <w:r w:rsidR="00C4647D" w:rsidRPr="00C4647D">
              <w:rPr>
                <w:b/>
              </w:rPr>
              <w:t>“Home.”</w:t>
            </w:r>
          </w:p>
          <w:p w14:paraId="1B4B4A48" w14:textId="77777777" w:rsidR="00347289" w:rsidRDefault="00347289" w:rsidP="0078714E">
            <w:pPr>
              <w:spacing w:after="0" w:line="240" w:lineRule="auto"/>
            </w:pPr>
          </w:p>
          <w:p w14:paraId="1B4B4A49" w14:textId="77777777" w:rsidR="00F72BCE" w:rsidRDefault="00143E16" w:rsidP="0078714E">
            <w:pPr>
              <w:spacing w:after="0" w:line="240" w:lineRule="auto"/>
            </w:pPr>
            <w:r>
              <w:rPr>
                <w:noProof/>
              </w:rPr>
              <w:lastRenderedPageBreak/>
              <w:drawing>
                <wp:inline distT="0" distB="0" distL="0" distR="0" wp14:anchorId="1B4B4A9E" wp14:editId="1B4B4A9F">
                  <wp:extent cx="4953000" cy="4505978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15111" t="32176" r="29080" b="38657"/>
                          <a:stretch/>
                        </pic:blipFill>
                        <pic:spPr bwMode="auto">
                          <a:xfrm>
                            <a:off x="0" y="0"/>
                            <a:ext cx="4968780" cy="452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B4B4A4A" w14:textId="77777777" w:rsidR="00C4647D" w:rsidRDefault="00C4647D" w:rsidP="00F72BCE">
            <w:pPr>
              <w:spacing w:after="0" w:line="240" w:lineRule="auto"/>
            </w:pPr>
          </w:p>
        </w:tc>
      </w:tr>
    </w:tbl>
    <w:p w14:paraId="1B4B4A4C" w14:textId="77777777" w:rsidR="00A47BA6" w:rsidRDefault="00A47BA6" w:rsidP="00A47BA6"/>
    <w:p w14:paraId="6E3000EB" w14:textId="77777777" w:rsidR="00240BB4" w:rsidRDefault="00240BB4" w:rsidP="00A47BA6"/>
    <w:p w14:paraId="28DB79A6" w14:textId="77777777" w:rsidR="00CF54D4" w:rsidRDefault="00CF54D4" w:rsidP="00A47BA6"/>
    <w:p w14:paraId="12A70C05" w14:textId="75A23382" w:rsidR="00240BB4" w:rsidRDefault="005C5C8B" w:rsidP="00A47BA6">
      <w:pPr>
        <w:rPr>
          <w:b/>
          <w:bCs/>
        </w:rPr>
      </w:pPr>
      <w:r>
        <w:rPr>
          <w:b/>
          <w:bCs/>
        </w:rPr>
        <w:lastRenderedPageBreak/>
        <w:t>Note</w:t>
      </w:r>
      <w:r w:rsidR="00357C97">
        <w:rPr>
          <w:b/>
          <w:bCs/>
        </w:rPr>
        <w:t>:</w:t>
      </w:r>
    </w:p>
    <w:p w14:paraId="6631B2DF" w14:textId="77777777" w:rsidR="00583348" w:rsidRDefault="00357C97" w:rsidP="00A47BA6">
      <w:r>
        <w:t xml:space="preserve">If the course comes back as Non-transferable (NT) for a new course or for a modified course </w:t>
      </w:r>
      <w:r w:rsidR="00D6559F">
        <w:t>that was not previously NT</w:t>
      </w:r>
      <w:r>
        <w:t xml:space="preserve">, the reviewer should give a </w:t>
      </w:r>
      <w:r w:rsidR="00D6559F">
        <w:t>reason that can be passed along to the community college.</w:t>
      </w:r>
      <w:r w:rsidR="00583348">
        <w:t xml:space="preserve"> Put the reason into the Footnotes box so that the community college knows why.</w:t>
      </w:r>
    </w:p>
    <w:p w14:paraId="2AFBF884" w14:textId="14B80CB6" w:rsidR="00357C97" w:rsidRDefault="00D6559F" w:rsidP="00A47BA6">
      <w:r>
        <w:t xml:space="preserve"> If it is a</w:t>
      </w:r>
      <w:r w:rsidR="009D0C68">
        <w:t>n</w:t>
      </w:r>
      <w:r>
        <w:t xml:space="preserve"> occupational/technical/vocational course and the UA offers nothing similar, that would be a reason </w:t>
      </w:r>
      <w:r w:rsidR="00BD7E02">
        <w:t>for the NT equivalency.</w:t>
      </w:r>
    </w:p>
    <w:p w14:paraId="454E1242" w14:textId="7CEAA378" w:rsidR="00BD7E02" w:rsidRDefault="00BD7E02" w:rsidP="00A47BA6">
      <w:r>
        <w:t xml:space="preserve">SUN numbered course equivalencies shouldn’t change without warning, although sometimes they do. When this happens, make sure that the evaluator </w:t>
      </w:r>
      <w:r w:rsidR="00E655F3">
        <w:t>gives a reason. Put the reason into the Footnote box</w:t>
      </w:r>
      <w:r w:rsidR="00F977E6">
        <w:t xml:space="preserve"> so that the community college can see it</w:t>
      </w:r>
      <w:r w:rsidR="006721E5">
        <w:t>. You can include the reviewer’s contact information</w:t>
      </w:r>
      <w:r w:rsidR="00965527">
        <w:t xml:space="preserve"> in case the CC has questions and would like to talk to someone about the change</w:t>
      </w:r>
      <w:r w:rsidR="006661EB">
        <w:t xml:space="preserve"> in equivalency.</w:t>
      </w:r>
      <w:r w:rsidR="003F490E">
        <w:t xml:space="preserve"> We can act as </w:t>
      </w:r>
      <w:proofErr w:type="gramStart"/>
      <w:r w:rsidR="003F490E">
        <w:t>go-between</w:t>
      </w:r>
      <w:proofErr w:type="gramEnd"/>
      <w:r w:rsidR="003F490E">
        <w:t xml:space="preserve"> if necessary, but sometimes it’s easier </w:t>
      </w:r>
      <w:r w:rsidR="00A076E0">
        <w:t>i</w:t>
      </w:r>
      <w:r w:rsidR="003F490E">
        <w:t>f the faculty can talk to each other directly.</w:t>
      </w:r>
    </w:p>
    <w:p w14:paraId="4C1FB3FC" w14:textId="5FAE4464" w:rsidR="00A076E0" w:rsidRPr="00357C97" w:rsidRDefault="00A076E0" w:rsidP="00A47BA6">
      <w:r>
        <w:t>Changes take about 2 weeks to show in the CEG</w:t>
      </w:r>
      <w:r w:rsidR="005C5C8B">
        <w:t>.</w:t>
      </w:r>
    </w:p>
    <w:p w14:paraId="1B4B4A4E" w14:textId="77777777" w:rsidR="00C4647D" w:rsidRDefault="00C4647D"/>
    <w:sectPr w:rsidR="00C4647D" w:rsidSect="00C32C13">
      <w:headerReference w:type="default" r:id="rId19"/>
      <w:footerReference w:type="default" r:id="rId2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21E9" w14:textId="77777777" w:rsidR="006A14A5" w:rsidRDefault="006A14A5" w:rsidP="00A47BA6">
      <w:pPr>
        <w:spacing w:after="0" w:line="240" w:lineRule="auto"/>
      </w:pPr>
      <w:r>
        <w:separator/>
      </w:r>
    </w:p>
  </w:endnote>
  <w:endnote w:type="continuationSeparator" w:id="0">
    <w:p w14:paraId="6A49B034" w14:textId="77777777" w:rsidR="006A14A5" w:rsidRDefault="006A14A5" w:rsidP="00A4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4AAB" w14:textId="77777777" w:rsidR="00E404C3" w:rsidRDefault="004E6E1F" w:rsidP="00C278B1">
    <w:pPr>
      <w:pStyle w:val="Footer"/>
      <w:spacing w:after="0"/>
    </w:pPr>
    <w:r>
      <w:t>Transfer Credit &amp; Articulation</w:t>
    </w:r>
  </w:p>
  <w:p w14:paraId="1B4B4AAC" w14:textId="5FD31624" w:rsidR="00E404C3" w:rsidRDefault="00287D8E" w:rsidP="00C278B1">
    <w:pPr>
      <w:pStyle w:val="Footer"/>
      <w:spacing w:after="0"/>
    </w:pPr>
    <w:r>
      <w:t xml:space="preserve">Revised by </w:t>
    </w:r>
    <w:r w:rsidR="000E38E3">
      <w:t>MEC</w:t>
    </w:r>
    <w:r w:rsidR="007672CC">
      <w:t xml:space="preserve"> </w:t>
    </w:r>
    <w:r w:rsidR="00E43587">
      <w:t>06</w:t>
    </w:r>
    <w:r w:rsidR="006235D5">
      <w:t>/</w:t>
    </w:r>
    <w:r w:rsidR="007672CC">
      <w:t>20</w:t>
    </w:r>
    <w:r w:rsidR="00E43587">
      <w:t>25</w:t>
    </w:r>
    <w:r w:rsidR="00E4358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6FB9F" w14:textId="77777777" w:rsidR="006A14A5" w:rsidRDefault="006A14A5" w:rsidP="00A47BA6">
      <w:pPr>
        <w:spacing w:after="0" w:line="240" w:lineRule="auto"/>
      </w:pPr>
      <w:r>
        <w:separator/>
      </w:r>
    </w:p>
  </w:footnote>
  <w:footnote w:type="continuationSeparator" w:id="0">
    <w:p w14:paraId="24264CF7" w14:textId="77777777" w:rsidR="006A14A5" w:rsidRDefault="006A14A5" w:rsidP="00A47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4AAA" w14:textId="346BC059" w:rsidR="00E404C3" w:rsidRDefault="00847E11" w:rsidP="00B16898">
    <w:pPr>
      <w:rPr>
        <w:b/>
        <w:sz w:val="28"/>
        <w:szCs w:val="28"/>
      </w:rPr>
    </w:pPr>
    <w:r>
      <w:rPr>
        <w:b/>
        <w:sz w:val="28"/>
        <w:szCs w:val="28"/>
      </w:rPr>
      <w:t>Transfer Credit &amp; Articulation ACETS F</w:t>
    </w:r>
    <w:r w:rsidR="00A47BA6">
      <w:rPr>
        <w:b/>
        <w:sz w:val="28"/>
        <w:szCs w:val="28"/>
      </w:rPr>
      <w:t>orm Business Process Guide (BPG)</w:t>
    </w:r>
    <w:r w:rsidR="00925F8E">
      <w:rPr>
        <w:b/>
        <w:sz w:val="28"/>
        <w:szCs w:val="28"/>
      </w:rPr>
      <w:tab/>
    </w:r>
    <w:r w:rsidR="00925F8E">
      <w:rPr>
        <w:b/>
        <w:sz w:val="28"/>
        <w:szCs w:val="28"/>
      </w:rPr>
      <w:tab/>
    </w:r>
    <w:r w:rsidR="00925F8E">
      <w:rPr>
        <w:b/>
        <w:sz w:val="28"/>
        <w:szCs w:val="28"/>
      </w:rPr>
      <w:tab/>
    </w:r>
    <w:r w:rsidR="00925F8E">
      <w:rPr>
        <w:b/>
        <w:sz w:val="28"/>
        <w:szCs w:val="28"/>
      </w:rPr>
      <w:tab/>
    </w:r>
    <w:r w:rsidR="00925F8E">
      <w:rPr>
        <w:b/>
        <w:sz w:val="28"/>
        <w:szCs w:val="28"/>
      </w:rPr>
      <w:tab/>
    </w:r>
    <w:r w:rsidR="00925F8E">
      <w:rPr>
        <w:b/>
        <w:sz w:val="28"/>
        <w:szCs w:val="28"/>
      </w:rPr>
      <w:tab/>
    </w:r>
    <w:r w:rsidR="00925F8E">
      <w:rPr>
        <w:b/>
        <w:sz w:val="28"/>
        <w:szCs w:val="28"/>
      </w:rPr>
      <w:tab/>
    </w:r>
    <w:r w:rsidR="00925F8E">
      <w:rPr>
        <w:b/>
        <w:sz w:val="28"/>
        <w:szCs w:val="28"/>
      </w:rPr>
      <w:tab/>
    </w:r>
    <w:r w:rsidR="00925F8E">
      <w:rPr>
        <w:b/>
        <w:sz w:val="28"/>
        <w:szCs w:val="28"/>
      </w:rPr>
      <w:tab/>
      <w:t xml:space="preserve">    </w:t>
    </w:r>
    <w:r w:rsidR="001B4C16">
      <w:rPr>
        <w:b/>
        <w:sz w:val="28"/>
        <w:szCs w:val="28"/>
      </w:rPr>
      <w:t>page</w:t>
    </w:r>
    <w:r w:rsidR="00925F8E">
      <w:rPr>
        <w:b/>
        <w:sz w:val="28"/>
        <w:szCs w:val="28"/>
      </w:rPr>
      <w:t xml:space="preserve"> </w:t>
    </w:r>
    <w:r w:rsidR="00925F8E" w:rsidRPr="00925F8E">
      <w:rPr>
        <w:b/>
        <w:sz w:val="28"/>
        <w:szCs w:val="28"/>
      </w:rPr>
      <w:fldChar w:fldCharType="begin"/>
    </w:r>
    <w:r w:rsidR="00925F8E" w:rsidRPr="00925F8E">
      <w:rPr>
        <w:b/>
        <w:sz w:val="28"/>
        <w:szCs w:val="28"/>
      </w:rPr>
      <w:instrText xml:space="preserve"> PAGE   \* MERGEFORMAT </w:instrText>
    </w:r>
    <w:r w:rsidR="00925F8E" w:rsidRPr="00925F8E">
      <w:rPr>
        <w:b/>
        <w:sz w:val="28"/>
        <w:szCs w:val="28"/>
      </w:rPr>
      <w:fldChar w:fldCharType="separate"/>
    </w:r>
    <w:r w:rsidR="00386CE7">
      <w:rPr>
        <w:b/>
        <w:noProof/>
        <w:sz w:val="28"/>
        <w:szCs w:val="28"/>
      </w:rPr>
      <w:t>4</w:t>
    </w:r>
    <w:r w:rsidR="00925F8E" w:rsidRPr="00925F8E">
      <w:rPr>
        <w:b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22AA"/>
    <w:multiLevelType w:val="hybridMultilevel"/>
    <w:tmpl w:val="FF60D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17805"/>
    <w:multiLevelType w:val="hybridMultilevel"/>
    <w:tmpl w:val="57A4B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7079E"/>
    <w:multiLevelType w:val="hybridMultilevel"/>
    <w:tmpl w:val="D624A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D5F79"/>
    <w:multiLevelType w:val="multilevel"/>
    <w:tmpl w:val="CA6E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030FF"/>
    <w:multiLevelType w:val="hybridMultilevel"/>
    <w:tmpl w:val="D55C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1427C"/>
    <w:multiLevelType w:val="hybridMultilevel"/>
    <w:tmpl w:val="C5D8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631FD"/>
    <w:multiLevelType w:val="hybridMultilevel"/>
    <w:tmpl w:val="0C30C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E7405"/>
    <w:multiLevelType w:val="hybridMultilevel"/>
    <w:tmpl w:val="6808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994077">
    <w:abstractNumId w:val="5"/>
  </w:num>
  <w:num w:numId="2" w16cid:durableId="839924745">
    <w:abstractNumId w:val="3"/>
  </w:num>
  <w:num w:numId="3" w16cid:durableId="1760638140">
    <w:abstractNumId w:val="4"/>
  </w:num>
  <w:num w:numId="4" w16cid:durableId="2060088818">
    <w:abstractNumId w:val="6"/>
  </w:num>
  <w:num w:numId="5" w16cid:durableId="1947616432">
    <w:abstractNumId w:val="0"/>
  </w:num>
  <w:num w:numId="6" w16cid:durableId="1597983634">
    <w:abstractNumId w:val="1"/>
  </w:num>
  <w:num w:numId="7" w16cid:durableId="850681022">
    <w:abstractNumId w:val="7"/>
  </w:num>
  <w:num w:numId="8" w16cid:durableId="2130390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A6"/>
    <w:rsid w:val="00093FC9"/>
    <w:rsid w:val="000C4E9C"/>
    <w:rsid w:val="000E38E3"/>
    <w:rsid w:val="000F1A0C"/>
    <w:rsid w:val="000F2C26"/>
    <w:rsid w:val="0010266B"/>
    <w:rsid w:val="00124ADC"/>
    <w:rsid w:val="00143E16"/>
    <w:rsid w:val="001548CB"/>
    <w:rsid w:val="001B4C16"/>
    <w:rsid w:val="001F252A"/>
    <w:rsid w:val="00240BB4"/>
    <w:rsid w:val="00274497"/>
    <w:rsid w:val="00275EBF"/>
    <w:rsid w:val="00287D8E"/>
    <w:rsid w:val="002C192C"/>
    <w:rsid w:val="002D208E"/>
    <w:rsid w:val="002E2406"/>
    <w:rsid w:val="002F0939"/>
    <w:rsid w:val="00335AF7"/>
    <w:rsid w:val="00347289"/>
    <w:rsid w:val="00357C97"/>
    <w:rsid w:val="0038167D"/>
    <w:rsid w:val="00386CE7"/>
    <w:rsid w:val="003F490E"/>
    <w:rsid w:val="004063DA"/>
    <w:rsid w:val="00416AE7"/>
    <w:rsid w:val="00431349"/>
    <w:rsid w:val="00432789"/>
    <w:rsid w:val="00477AE4"/>
    <w:rsid w:val="00477D3A"/>
    <w:rsid w:val="004A7703"/>
    <w:rsid w:val="004E6E1F"/>
    <w:rsid w:val="00536A6F"/>
    <w:rsid w:val="005636CD"/>
    <w:rsid w:val="00567E08"/>
    <w:rsid w:val="00583348"/>
    <w:rsid w:val="0058513A"/>
    <w:rsid w:val="0059301E"/>
    <w:rsid w:val="005936C5"/>
    <w:rsid w:val="00597569"/>
    <w:rsid w:val="005A2546"/>
    <w:rsid w:val="005A78EA"/>
    <w:rsid w:val="005C5C8B"/>
    <w:rsid w:val="006235D5"/>
    <w:rsid w:val="00631913"/>
    <w:rsid w:val="00635B9B"/>
    <w:rsid w:val="006661EB"/>
    <w:rsid w:val="006721E5"/>
    <w:rsid w:val="006A14A5"/>
    <w:rsid w:val="006B7D76"/>
    <w:rsid w:val="006D0A43"/>
    <w:rsid w:val="006E15BA"/>
    <w:rsid w:val="006F3F66"/>
    <w:rsid w:val="007672CC"/>
    <w:rsid w:val="007768B3"/>
    <w:rsid w:val="00847E11"/>
    <w:rsid w:val="00865B49"/>
    <w:rsid w:val="0087313B"/>
    <w:rsid w:val="00887115"/>
    <w:rsid w:val="008B0E7B"/>
    <w:rsid w:val="008B762F"/>
    <w:rsid w:val="008C3563"/>
    <w:rsid w:val="008C7897"/>
    <w:rsid w:val="008D096B"/>
    <w:rsid w:val="008D4F7D"/>
    <w:rsid w:val="008F1F9A"/>
    <w:rsid w:val="00906B99"/>
    <w:rsid w:val="0092201D"/>
    <w:rsid w:val="00925F8E"/>
    <w:rsid w:val="00956141"/>
    <w:rsid w:val="00965527"/>
    <w:rsid w:val="009704A8"/>
    <w:rsid w:val="009730F6"/>
    <w:rsid w:val="009B3902"/>
    <w:rsid w:val="009C70D2"/>
    <w:rsid w:val="009D0C68"/>
    <w:rsid w:val="009E654A"/>
    <w:rsid w:val="00A076E0"/>
    <w:rsid w:val="00A1385C"/>
    <w:rsid w:val="00A47BA6"/>
    <w:rsid w:val="00A5263B"/>
    <w:rsid w:val="00A73D59"/>
    <w:rsid w:val="00AF1790"/>
    <w:rsid w:val="00B855F4"/>
    <w:rsid w:val="00B856C1"/>
    <w:rsid w:val="00B87ACF"/>
    <w:rsid w:val="00B93081"/>
    <w:rsid w:val="00BD7E02"/>
    <w:rsid w:val="00BF1AF3"/>
    <w:rsid w:val="00C27418"/>
    <w:rsid w:val="00C32C13"/>
    <w:rsid w:val="00C4647D"/>
    <w:rsid w:val="00C50354"/>
    <w:rsid w:val="00CF195B"/>
    <w:rsid w:val="00CF54D4"/>
    <w:rsid w:val="00D6559F"/>
    <w:rsid w:val="00DA4429"/>
    <w:rsid w:val="00DC32BB"/>
    <w:rsid w:val="00DD3628"/>
    <w:rsid w:val="00DE6D17"/>
    <w:rsid w:val="00E24401"/>
    <w:rsid w:val="00E404C3"/>
    <w:rsid w:val="00E43587"/>
    <w:rsid w:val="00E655F3"/>
    <w:rsid w:val="00E829EC"/>
    <w:rsid w:val="00E953C1"/>
    <w:rsid w:val="00EA7304"/>
    <w:rsid w:val="00F24DD1"/>
    <w:rsid w:val="00F72BCE"/>
    <w:rsid w:val="00F9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B49BC"/>
  <w15:chartTrackingRefBased/>
  <w15:docId w15:val="{765EBECC-7B72-4CF5-9685-DEC50D24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B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B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B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BA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7B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BA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47BA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442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72BC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93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ztransmac2.asu.edu/cgi-bin/WebObjects/acets" TargetMode="External"/><Relationship Id="rId12" Type="http://schemas.openxmlformats.org/officeDocument/2006/relationships/hyperlink" Target="https://aztransmac2.asu.edu/cgi-bin/WebObjects/CEG" TargetMode="External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Valenzuela, Anthony</dc:creator>
  <cp:keywords/>
  <dc:description/>
  <cp:lastModifiedBy>Cien Luke</cp:lastModifiedBy>
  <cp:revision>2</cp:revision>
  <dcterms:created xsi:type="dcterms:W3CDTF">2025-06-23T22:10:00Z</dcterms:created>
  <dcterms:modified xsi:type="dcterms:W3CDTF">2025-06-23T22:10:00Z</dcterms:modified>
</cp:coreProperties>
</file>